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893EA9">
        <w:rPr>
          <w:rFonts w:ascii="Times New Roman" w:hAnsi="Times New Roman" w:cs="Times New Roman"/>
          <w:b w:val="0"/>
          <w:sz w:val="24"/>
          <w:szCs w:val="24"/>
        </w:rPr>
        <w:t>Ходарского</w:t>
      </w:r>
      <w:proofErr w:type="spellEnd"/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proofErr w:type="spellStart"/>
      <w:r w:rsidR="00893EA9">
        <w:rPr>
          <w:b w:val="0"/>
          <w:bCs w:val="0"/>
        </w:rPr>
        <w:t>Ходарского</w:t>
      </w:r>
      <w:proofErr w:type="spellEnd"/>
      <w:r w:rsidR="00777A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A9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proofErr w:type="spellStart"/>
      <w:r w:rsidR="00893EA9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proofErr w:type="spellStart"/>
      <w:r w:rsidR="00893EA9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893EA9" w:rsidP="00D236FC">
      <w:pPr>
        <w:pStyle w:val="a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Ходарского</w:t>
      </w:r>
      <w:proofErr w:type="spellEnd"/>
      <w:r>
        <w:rPr>
          <w:b w:val="0"/>
          <w:bCs w:val="0"/>
        </w:rPr>
        <w:t xml:space="preserve"> </w:t>
      </w:r>
      <w:r w:rsidR="00B96126">
        <w:rPr>
          <w:b w:val="0"/>
          <w:bCs w:val="0"/>
        </w:rPr>
        <w:t>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</w:t>
      </w:r>
      <w:r w:rsidR="00893EA9">
        <w:rPr>
          <w:b w:val="0"/>
          <w:bCs w:val="0"/>
        </w:rPr>
        <w:t>Ю.Н. Евграфов</w:t>
      </w:r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proofErr w:type="spellStart"/>
      <w:r w:rsidR="00893EA9">
        <w:rPr>
          <w:b w:val="0"/>
        </w:rPr>
        <w:t>Ходарского</w:t>
      </w:r>
      <w:proofErr w:type="spellEnd"/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893EA9">
        <w:rPr>
          <w:rFonts w:ascii="Times New Roman" w:hAnsi="Times New Roman" w:cs="Times New Roman"/>
          <w:sz w:val="24"/>
          <w:szCs w:val="24"/>
        </w:rPr>
        <w:t>ХОДАРСКОГО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3EA9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893EA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3EA9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893EA9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3EA9">
        <w:rPr>
          <w:rFonts w:ascii="Times New Roman" w:hAnsi="Times New Roman" w:cs="Times New Roman"/>
          <w:sz w:val="24"/>
          <w:szCs w:val="24"/>
        </w:rPr>
        <w:t>Ходарского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1DB1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60CBB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77A4E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3EA9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9D0D0D"/>
    <w:rsid w:val="00A04394"/>
    <w:rsid w:val="00A10FDA"/>
    <w:rsid w:val="00A14148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371B-9C63-4993-ABBF-82440FBC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98</cp:revision>
  <cp:lastPrinted>2017-06-21T13:59:00Z</cp:lastPrinted>
  <dcterms:created xsi:type="dcterms:W3CDTF">2013-07-01T08:34:00Z</dcterms:created>
  <dcterms:modified xsi:type="dcterms:W3CDTF">2018-08-22T05:58:00Z</dcterms:modified>
</cp:coreProperties>
</file>